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65489" w14:textId="54765966" w:rsidR="000B5E7C" w:rsidRDefault="000B5E7C">
      <w:pPr>
        <w:rPr>
          <w:rFonts w:ascii="Arial" w:hAnsi="Arial" w:cs="Arial"/>
        </w:rPr>
      </w:pPr>
      <w:r w:rsidRPr="0027706D">
        <w:rPr>
          <w:rFonts w:ascii="Arial" w:hAnsi="Arial" w:cs="Arial"/>
          <w:b/>
        </w:rPr>
        <w:t>Title:</w:t>
      </w:r>
      <w:r w:rsidR="00DF089F">
        <w:rPr>
          <w:rFonts w:ascii="Arial" w:hAnsi="Arial" w:cs="Arial"/>
        </w:rPr>
        <w:t xml:space="preserve"> </w:t>
      </w:r>
      <w:r w:rsidR="00DF089F" w:rsidRPr="00625EFC">
        <w:rPr>
          <w:rFonts w:ascii="Arial" w:hAnsi="Arial" w:cs="Arial"/>
          <w:b/>
        </w:rPr>
        <w:t>Case study lesson</w:t>
      </w:r>
      <w:r w:rsidR="0027706D" w:rsidRPr="00625EFC">
        <w:rPr>
          <w:rFonts w:ascii="Arial" w:hAnsi="Arial" w:cs="Arial"/>
          <w:b/>
        </w:rPr>
        <w:t xml:space="preserve"> environment 2</w:t>
      </w:r>
      <w:r w:rsidR="00DF089F" w:rsidRPr="00625EFC">
        <w:rPr>
          <w:rFonts w:ascii="Arial" w:hAnsi="Arial" w:cs="Arial"/>
          <w:b/>
        </w:rPr>
        <w:t>: The Green Belt Movement, Kenya</w:t>
      </w:r>
    </w:p>
    <w:p w14:paraId="6050033C" w14:textId="77777777" w:rsidR="00832AC9" w:rsidRDefault="00832AC9">
      <w:pPr>
        <w:rPr>
          <w:rFonts w:ascii="Arial" w:hAnsi="Arial" w:cs="Arial"/>
        </w:rPr>
      </w:pPr>
    </w:p>
    <w:p w14:paraId="5B506DB4" w14:textId="499EDF7F" w:rsidR="0027706D" w:rsidRDefault="0027706D" w:rsidP="00C413F3">
      <w:pPr>
        <w:pBdr>
          <w:top w:val="single" w:sz="4" w:space="1" w:color="auto"/>
          <w:left w:val="single" w:sz="4" w:space="4" w:color="auto"/>
          <w:bottom w:val="single" w:sz="4" w:space="1" w:color="auto"/>
          <w:right w:val="single" w:sz="4" w:space="4" w:color="auto"/>
        </w:pBdr>
        <w:rPr>
          <w:rFonts w:ascii="Arial" w:hAnsi="Arial" w:cs="Arial"/>
          <w:b/>
        </w:rPr>
      </w:pPr>
      <w:r w:rsidRPr="0027706D">
        <w:rPr>
          <w:rFonts w:ascii="Arial" w:hAnsi="Arial" w:cs="Arial"/>
          <w:b/>
        </w:rPr>
        <w:t>Introduction to Lesson</w:t>
      </w:r>
    </w:p>
    <w:p w14:paraId="68A96F61" w14:textId="7DAFB7D9" w:rsidR="00877A16" w:rsidRDefault="00C413F3" w:rsidP="00C413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This is the second of </w:t>
      </w:r>
      <w:r w:rsidR="0053314B">
        <w:rPr>
          <w:rFonts w:ascii="Arial" w:hAnsi="Arial" w:cs="Arial"/>
        </w:rPr>
        <w:t xml:space="preserve">four </w:t>
      </w:r>
      <w:r>
        <w:rPr>
          <w:rFonts w:ascii="Arial" w:hAnsi="Arial" w:cs="Arial"/>
        </w:rPr>
        <w:t xml:space="preserve">environment-themed case studies (the others are </w:t>
      </w:r>
      <w:r w:rsidR="0053314B">
        <w:rPr>
          <w:rFonts w:ascii="Arial" w:hAnsi="Arial" w:cs="Arial"/>
        </w:rPr>
        <w:t>the Chipko Movement in India,</w:t>
      </w:r>
      <w:r>
        <w:rPr>
          <w:rFonts w:ascii="Arial" w:hAnsi="Arial" w:cs="Arial"/>
        </w:rPr>
        <w:t xml:space="preserve"> Right to Roam in UK</w:t>
      </w:r>
      <w:r w:rsidR="0053314B">
        <w:rPr>
          <w:rFonts w:ascii="Arial" w:hAnsi="Arial" w:cs="Arial"/>
        </w:rPr>
        <w:t xml:space="preserve"> and Sheffield Street Trees</w:t>
      </w:r>
      <w:r>
        <w:rPr>
          <w:rFonts w:ascii="Arial" w:hAnsi="Arial" w:cs="Arial"/>
        </w:rPr>
        <w:t xml:space="preserve">). </w:t>
      </w:r>
      <w:r w:rsidR="00877A16">
        <w:rPr>
          <w:rFonts w:ascii="Arial" w:hAnsi="Arial" w:cs="Arial"/>
        </w:rPr>
        <w:t>This lesson uses the story of Wangari Maathai, Nobel Peace Prize Winner and the Green Belt Movement in Kenya to explore the concept of influence – who do we influence and who influences us?</w:t>
      </w:r>
    </w:p>
    <w:p w14:paraId="0B44A1EC" w14:textId="77777777" w:rsidR="00C413F3" w:rsidRPr="00877A16" w:rsidRDefault="00C413F3" w:rsidP="00C413F3">
      <w:pPr>
        <w:pBdr>
          <w:top w:val="single" w:sz="4" w:space="1" w:color="auto"/>
          <w:left w:val="single" w:sz="4" w:space="4" w:color="auto"/>
          <w:bottom w:val="single" w:sz="4" w:space="1" w:color="auto"/>
          <w:right w:val="single" w:sz="4" w:space="4" w:color="auto"/>
        </w:pBdr>
        <w:rPr>
          <w:rFonts w:ascii="Arial" w:hAnsi="Arial" w:cs="Arial"/>
        </w:rPr>
      </w:pPr>
    </w:p>
    <w:p w14:paraId="6EF0E978" w14:textId="77777777" w:rsidR="0027706D" w:rsidRPr="0027706D" w:rsidRDefault="0027706D">
      <w:pPr>
        <w:rPr>
          <w:rFonts w:ascii="Arial" w:hAnsi="Arial" w:cs="Arial"/>
          <w:b/>
        </w:rPr>
      </w:pPr>
    </w:p>
    <w:p w14:paraId="7898F141" w14:textId="390EEB2A" w:rsidR="00832AC9" w:rsidRDefault="00832AC9">
      <w:pPr>
        <w:rPr>
          <w:rFonts w:ascii="Arial" w:hAnsi="Arial" w:cs="Arial"/>
          <w:color w:val="000000"/>
        </w:rPr>
      </w:pPr>
      <w:r w:rsidRPr="0027706D">
        <w:rPr>
          <w:rFonts w:ascii="Arial" w:hAnsi="Arial" w:cs="Arial"/>
          <w:b/>
        </w:rPr>
        <w:t xml:space="preserve">Curriculum links: </w:t>
      </w:r>
      <w:r w:rsidR="00625EFC" w:rsidRPr="00940F7A">
        <w:rPr>
          <w:rFonts w:ascii="Arial" w:hAnsi="Arial" w:cs="Arial"/>
          <w:color w:val="000000"/>
        </w:rPr>
        <w:t xml:space="preserve">RSHE, </w:t>
      </w:r>
      <w:r w:rsidR="00B35B5C">
        <w:rPr>
          <w:rFonts w:ascii="Arial" w:hAnsi="Arial" w:cs="Arial"/>
          <w:color w:val="000000"/>
        </w:rPr>
        <w:t xml:space="preserve">Religious Education, </w:t>
      </w:r>
      <w:r w:rsidR="00625EFC" w:rsidRPr="00940F7A">
        <w:rPr>
          <w:rFonts w:ascii="Arial" w:hAnsi="Arial" w:cs="Arial"/>
          <w:color w:val="000000"/>
        </w:rPr>
        <w:t>Citizenship, Geography, English, History</w:t>
      </w:r>
      <w:r w:rsidR="009B250B">
        <w:rPr>
          <w:rFonts w:ascii="Arial" w:hAnsi="Arial" w:cs="Arial"/>
          <w:color w:val="000000"/>
        </w:rPr>
        <w:t>, Science</w:t>
      </w:r>
    </w:p>
    <w:p w14:paraId="5F0C588D" w14:textId="77777777" w:rsidR="00DA231E" w:rsidRDefault="00DA231E">
      <w:pPr>
        <w:rPr>
          <w:rFonts w:ascii="Arial" w:hAnsi="Arial" w:cs="Arial"/>
          <w:color w:val="000000"/>
        </w:rPr>
      </w:pPr>
    </w:p>
    <w:p w14:paraId="6B602FCC" w14:textId="77777777" w:rsidR="00DA231E" w:rsidRDefault="00DA231E" w:rsidP="00DA231E">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‘2a to research, discuss and debate topical issues, problems and events’; ‘</w:t>
      </w:r>
      <w:r w:rsidRPr="000F3C3C">
        <w:rPr>
          <w:rFonts w:ascii="Arial" w:hAnsi="Arial" w:cs="Arial"/>
        </w:rPr>
        <w:t>2e to reflect on spiritual, moral, social and cultural issues, using imagination to understand other people’s experiences’</w:t>
      </w:r>
      <w:r>
        <w:rPr>
          <w:rFonts w:ascii="Arial" w:hAnsi="Arial" w:cs="Arial"/>
        </w:rPr>
        <w:t>; ‘</w:t>
      </w:r>
      <w:r w:rsidRPr="000F3C3C">
        <w:rPr>
          <w:rFonts w:ascii="Arial" w:hAnsi="Arial" w:cs="Arial"/>
        </w:rPr>
        <w:t>2h to recognise the role of voluntary, community and pressure groups’</w:t>
      </w:r>
    </w:p>
    <w:p w14:paraId="6B5840BA" w14:textId="183C2D06" w:rsidR="00D728E8" w:rsidRPr="008E16D7" w:rsidRDefault="00DA231E" w:rsidP="00D728E8">
      <w:pPr>
        <w:rPr>
          <w:rFonts w:ascii="Arial" w:hAnsi="Arial" w:cs="Arial"/>
        </w:rPr>
      </w:pPr>
      <w:r w:rsidRPr="00AF2F44">
        <w:rPr>
          <w:rFonts w:ascii="Arial" w:hAnsi="Arial" w:cs="Arial"/>
          <w:b/>
        </w:rPr>
        <w:t>KS3</w:t>
      </w:r>
      <w:r>
        <w:rPr>
          <w:rFonts w:ascii="Arial" w:hAnsi="Arial" w:cs="Arial"/>
          <w:b/>
        </w:rPr>
        <w:t xml:space="preserve"> ‘</w:t>
      </w:r>
      <w:r w:rsidRPr="008E16D7">
        <w:rPr>
          <w:rFonts w:ascii="Arial" w:hAnsi="Arial" w:cs="Arial"/>
        </w:rPr>
        <w:t>Pupils should use and apply their knowledge and understanding while developing skills to research and interrogate evidence, debate and evaluate viewpoints, present reasoned arg</w:t>
      </w:r>
      <w:r w:rsidR="00D728E8">
        <w:rPr>
          <w:rFonts w:ascii="Arial" w:hAnsi="Arial" w:cs="Arial"/>
        </w:rPr>
        <w:t>uments and take informed action</w:t>
      </w:r>
      <w:r>
        <w:rPr>
          <w:rFonts w:ascii="Arial" w:hAnsi="Arial" w:cs="Arial"/>
        </w:rPr>
        <w:t>’</w:t>
      </w:r>
      <w:r w:rsidR="00D728E8">
        <w:rPr>
          <w:rFonts w:ascii="Arial" w:hAnsi="Arial" w:cs="Arial"/>
        </w:rPr>
        <w:t>; ‘Pupils should be taught about…</w:t>
      </w:r>
      <w:r w:rsidR="00D728E8"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sidR="00D728E8">
        <w:rPr>
          <w:rFonts w:ascii="Arial" w:hAnsi="Arial" w:cs="Arial"/>
          <w:lang w:val="en-US"/>
        </w:rPr>
        <w:t>.</w:t>
      </w:r>
    </w:p>
    <w:p w14:paraId="4E8612DD" w14:textId="77777777" w:rsidR="000B5E7C" w:rsidRPr="0027706D" w:rsidRDefault="000B5E7C">
      <w:pPr>
        <w:rPr>
          <w:rFonts w:ascii="Arial" w:hAnsi="Arial" w:cs="Arial"/>
          <w:b/>
        </w:rPr>
      </w:pPr>
    </w:p>
    <w:p w14:paraId="088E954F" w14:textId="6304836B" w:rsidR="000B5E7C" w:rsidRDefault="000B5E7C">
      <w:pPr>
        <w:rPr>
          <w:rFonts w:ascii="Arial" w:hAnsi="Arial" w:cs="Arial"/>
          <w:b/>
        </w:rPr>
      </w:pPr>
      <w:r w:rsidRPr="0027706D">
        <w:rPr>
          <w:rFonts w:ascii="Arial" w:hAnsi="Arial" w:cs="Arial"/>
          <w:b/>
        </w:rPr>
        <w:t>Learning outcomes:</w:t>
      </w:r>
      <w:r w:rsidR="00C413F3">
        <w:rPr>
          <w:rFonts w:ascii="Arial" w:hAnsi="Arial" w:cs="Arial"/>
          <w:b/>
        </w:rPr>
        <w:t xml:space="preserve"> </w:t>
      </w:r>
    </w:p>
    <w:p w14:paraId="3F3291EA" w14:textId="5D4192B2" w:rsidR="00C413F3" w:rsidRDefault="00C413F3" w:rsidP="008E2F65">
      <w:pPr>
        <w:pStyle w:val="ListParagraph"/>
        <w:numPr>
          <w:ilvl w:val="0"/>
          <w:numId w:val="4"/>
        </w:numPr>
        <w:rPr>
          <w:rFonts w:ascii="Arial" w:hAnsi="Arial" w:cs="Arial"/>
        </w:rPr>
      </w:pPr>
      <w:r>
        <w:rPr>
          <w:rFonts w:ascii="Arial" w:hAnsi="Arial" w:cs="Arial"/>
        </w:rPr>
        <w:t xml:space="preserve">To </w:t>
      </w:r>
      <w:r w:rsidR="008922D5">
        <w:rPr>
          <w:rFonts w:ascii="Arial" w:hAnsi="Arial" w:cs="Arial"/>
        </w:rPr>
        <w:t xml:space="preserve">explore </w:t>
      </w:r>
      <w:r>
        <w:rPr>
          <w:rFonts w:ascii="Arial" w:hAnsi="Arial" w:cs="Arial"/>
        </w:rPr>
        <w:t xml:space="preserve">the concept of ‘influence’ </w:t>
      </w:r>
      <w:r w:rsidR="008922D5">
        <w:rPr>
          <w:rFonts w:ascii="Arial" w:hAnsi="Arial" w:cs="Arial"/>
        </w:rPr>
        <w:t xml:space="preserve">through </w:t>
      </w:r>
      <w:r>
        <w:rPr>
          <w:rFonts w:ascii="Arial" w:hAnsi="Arial" w:cs="Arial"/>
        </w:rPr>
        <w:t>individually reflect</w:t>
      </w:r>
      <w:r w:rsidR="008922D5">
        <w:rPr>
          <w:rFonts w:ascii="Arial" w:hAnsi="Arial" w:cs="Arial"/>
        </w:rPr>
        <w:t>ing</w:t>
      </w:r>
      <w:r>
        <w:rPr>
          <w:rFonts w:ascii="Arial" w:hAnsi="Arial" w:cs="Arial"/>
        </w:rPr>
        <w:t xml:space="preserve"> on who I am influenced by and who I influence</w:t>
      </w:r>
      <w:r w:rsidR="008922D5">
        <w:rPr>
          <w:rFonts w:ascii="Arial" w:hAnsi="Arial" w:cs="Arial"/>
        </w:rPr>
        <w:t xml:space="preserve"> and then applying this learning to thinking about Wangari Maathai.</w:t>
      </w:r>
    </w:p>
    <w:p w14:paraId="662BA504" w14:textId="796B4C11" w:rsidR="00625EFC" w:rsidRDefault="00625EFC" w:rsidP="008E2F65">
      <w:pPr>
        <w:pStyle w:val="ListParagraph"/>
        <w:numPr>
          <w:ilvl w:val="0"/>
          <w:numId w:val="4"/>
        </w:numPr>
        <w:rPr>
          <w:rFonts w:ascii="Arial" w:hAnsi="Arial" w:cs="Arial"/>
        </w:rPr>
      </w:pPr>
      <w:r w:rsidRPr="00625EFC">
        <w:rPr>
          <w:rFonts w:ascii="Arial" w:hAnsi="Arial" w:cs="Arial"/>
        </w:rPr>
        <w:t>To use a case study to explore the effectiveness of non-violent actions.</w:t>
      </w:r>
    </w:p>
    <w:p w14:paraId="5C8CC237" w14:textId="7BABA511" w:rsidR="00C413F3" w:rsidRPr="00C413F3" w:rsidRDefault="00C413F3" w:rsidP="008922D5">
      <w:pPr>
        <w:pStyle w:val="ListParagraph"/>
        <w:rPr>
          <w:rFonts w:ascii="Arial" w:hAnsi="Arial" w:cs="Arial"/>
        </w:rPr>
      </w:pPr>
    </w:p>
    <w:p w14:paraId="6102B630" w14:textId="77777777" w:rsidR="000B5E7C" w:rsidRPr="0027706D" w:rsidRDefault="000B5E7C">
      <w:pPr>
        <w:rPr>
          <w:rFonts w:ascii="Arial" w:hAnsi="Arial" w:cs="Arial"/>
          <w:b/>
        </w:rPr>
      </w:pPr>
    </w:p>
    <w:p w14:paraId="40143C02" w14:textId="77777777" w:rsidR="000B5E7C" w:rsidRDefault="000B5E7C">
      <w:pPr>
        <w:rPr>
          <w:rFonts w:ascii="Arial" w:hAnsi="Arial" w:cs="Arial"/>
          <w:b/>
        </w:rPr>
      </w:pPr>
      <w:r w:rsidRPr="0027706D">
        <w:rPr>
          <w:rFonts w:ascii="Arial" w:hAnsi="Arial" w:cs="Arial"/>
          <w:b/>
        </w:rPr>
        <w:t>Concepts:</w:t>
      </w:r>
    </w:p>
    <w:p w14:paraId="30A35F18" w14:textId="0683E168" w:rsidR="0027706D" w:rsidRDefault="0027706D">
      <w:pPr>
        <w:rPr>
          <w:rFonts w:ascii="Arial" w:hAnsi="Arial" w:cs="Arial"/>
        </w:rPr>
      </w:pPr>
      <w:r>
        <w:rPr>
          <w:rFonts w:ascii="Arial" w:hAnsi="Arial" w:cs="Arial"/>
        </w:rPr>
        <w:t>Influence</w:t>
      </w:r>
    </w:p>
    <w:p w14:paraId="75271D87" w14:textId="63E6F82F" w:rsidR="00211838" w:rsidRDefault="00211838">
      <w:pPr>
        <w:rPr>
          <w:rFonts w:ascii="Arial" w:hAnsi="Arial" w:cs="Arial"/>
        </w:rPr>
      </w:pPr>
      <w:r>
        <w:rPr>
          <w:rFonts w:ascii="Arial" w:hAnsi="Arial" w:cs="Arial"/>
        </w:rPr>
        <w:t>Environment</w:t>
      </w:r>
    </w:p>
    <w:p w14:paraId="78A4C358" w14:textId="2ECC0E99" w:rsidR="00211838" w:rsidRPr="0027706D" w:rsidRDefault="00211838">
      <w:pPr>
        <w:rPr>
          <w:rFonts w:ascii="Arial" w:hAnsi="Arial" w:cs="Arial"/>
        </w:rPr>
      </w:pPr>
      <w:r>
        <w:rPr>
          <w:rFonts w:ascii="Arial" w:hAnsi="Arial" w:cs="Arial"/>
        </w:rPr>
        <w:t>Interdependence</w:t>
      </w:r>
    </w:p>
    <w:p w14:paraId="634EFA22" w14:textId="77777777" w:rsidR="000B5E7C" w:rsidRPr="0027706D" w:rsidRDefault="000B5E7C">
      <w:pPr>
        <w:rPr>
          <w:rFonts w:ascii="Arial" w:hAnsi="Arial" w:cs="Arial"/>
          <w:b/>
        </w:rPr>
      </w:pPr>
    </w:p>
    <w:p w14:paraId="67DEC949" w14:textId="77777777" w:rsidR="000B5E7C" w:rsidRDefault="000B5E7C">
      <w:pPr>
        <w:rPr>
          <w:rFonts w:ascii="Arial" w:hAnsi="Arial" w:cs="Arial"/>
          <w:b/>
        </w:rPr>
      </w:pPr>
      <w:r w:rsidRPr="0027706D">
        <w:rPr>
          <w:rFonts w:ascii="Arial" w:hAnsi="Arial" w:cs="Arial"/>
          <w:b/>
        </w:rPr>
        <w:t>Key vocabulary:</w:t>
      </w:r>
    </w:p>
    <w:p w14:paraId="6558D028" w14:textId="1B3680CD" w:rsidR="00211838" w:rsidRDefault="00211838">
      <w:pPr>
        <w:rPr>
          <w:rFonts w:ascii="Arial" w:hAnsi="Arial" w:cs="Arial"/>
        </w:rPr>
      </w:pPr>
      <w:r>
        <w:rPr>
          <w:rFonts w:ascii="Arial" w:hAnsi="Arial" w:cs="Arial"/>
        </w:rPr>
        <w:t>Influence</w:t>
      </w:r>
    </w:p>
    <w:p w14:paraId="5C124321" w14:textId="43A63243" w:rsidR="00211838" w:rsidRPr="00211838" w:rsidRDefault="00211838">
      <w:pPr>
        <w:rPr>
          <w:rFonts w:ascii="Arial" w:hAnsi="Arial" w:cs="Arial"/>
        </w:rPr>
      </w:pPr>
      <w:r>
        <w:rPr>
          <w:rFonts w:ascii="Arial" w:hAnsi="Arial" w:cs="Arial"/>
        </w:rPr>
        <w:t>Hope</w:t>
      </w:r>
    </w:p>
    <w:p w14:paraId="2B3994BC" w14:textId="77777777" w:rsidR="0027706D" w:rsidRDefault="0027706D">
      <w:pPr>
        <w:rPr>
          <w:rFonts w:ascii="Arial" w:hAnsi="Arial" w:cs="Arial"/>
          <w:b/>
        </w:rPr>
      </w:pPr>
    </w:p>
    <w:p w14:paraId="5B0BB8C0" w14:textId="1DE3B104" w:rsidR="0027706D" w:rsidRPr="0027706D" w:rsidRDefault="0027706D">
      <w:pPr>
        <w:rPr>
          <w:rFonts w:ascii="Arial" w:hAnsi="Arial" w:cs="Arial"/>
          <w:b/>
        </w:rPr>
      </w:pPr>
      <w:r>
        <w:rPr>
          <w:rFonts w:ascii="Arial" w:hAnsi="Arial" w:cs="Arial"/>
          <w:b/>
        </w:rPr>
        <w:t>Resources</w:t>
      </w:r>
      <w:r w:rsidR="008F3B26">
        <w:rPr>
          <w:rFonts w:ascii="Arial" w:hAnsi="Arial" w:cs="Arial"/>
          <w:b/>
        </w:rPr>
        <w:t>:</w:t>
      </w:r>
    </w:p>
    <w:p w14:paraId="68DCD4AD" w14:textId="3F88272C" w:rsidR="000B5E7C" w:rsidRDefault="0027706D">
      <w:pPr>
        <w:rPr>
          <w:rFonts w:ascii="Arial" w:hAnsi="Arial" w:cs="Arial"/>
        </w:rPr>
      </w:pPr>
      <w:r>
        <w:rPr>
          <w:rFonts w:ascii="Arial" w:hAnsi="Arial" w:cs="Arial"/>
        </w:rPr>
        <w:t xml:space="preserve">Resource Sheet </w:t>
      </w:r>
      <w:r w:rsidR="0049256D">
        <w:rPr>
          <w:rFonts w:ascii="Arial" w:hAnsi="Arial" w:cs="Arial"/>
        </w:rPr>
        <w:t>47</w:t>
      </w:r>
      <w:r w:rsidR="00075548">
        <w:rPr>
          <w:rFonts w:ascii="Arial" w:hAnsi="Arial" w:cs="Arial"/>
        </w:rPr>
        <w:t>: Influence D</w:t>
      </w:r>
      <w:r>
        <w:rPr>
          <w:rFonts w:ascii="Arial" w:hAnsi="Arial" w:cs="Arial"/>
        </w:rPr>
        <w:t>iagram</w:t>
      </w:r>
    </w:p>
    <w:p w14:paraId="5A636E3F" w14:textId="338941A0" w:rsidR="0027706D" w:rsidRDefault="0027706D">
      <w:pPr>
        <w:rPr>
          <w:rFonts w:ascii="Arial" w:hAnsi="Arial" w:cs="Arial"/>
        </w:rPr>
      </w:pPr>
      <w:r>
        <w:rPr>
          <w:rFonts w:ascii="Arial" w:hAnsi="Arial" w:cs="Arial"/>
        </w:rPr>
        <w:t>PowerPoint</w:t>
      </w:r>
    </w:p>
    <w:p w14:paraId="33A76FB1" w14:textId="50E57CA8" w:rsidR="0027706D" w:rsidRDefault="0027706D">
      <w:pPr>
        <w:rPr>
          <w:rFonts w:ascii="Arial" w:hAnsi="Arial" w:cs="Arial"/>
        </w:rPr>
      </w:pPr>
      <w:r>
        <w:rPr>
          <w:rFonts w:ascii="Arial" w:hAnsi="Arial" w:cs="Arial"/>
        </w:rPr>
        <w:t>Resource Sheet</w:t>
      </w:r>
      <w:r w:rsidR="0049256D">
        <w:rPr>
          <w:rFonts w:ascii="Arial" w:hAnsi="Arial" w:cs="Arial"/>
        </w:rPr>
        <w:t xml:space="preserve"> 48</w:t>
      </w:r>
      <w:r>
        <w:rPr>
          <w:rFonts w:ascii="Arial" w:hAnsi="Arial" w:cs="Arial"/>
        </w:rPr>
        <w:t>: Wangari Maathai story</w:t>
      </w:r>
      <w:r w:rsidR="005F3995">
        <w:rPr>
          <w:rFonts w:ascii="Arial" w:hAnsi="Arial" w:cs="Arial"/>
        </w:rPr>
        <w:t xml:space="preserve"> pictures</w:t>
      </w:r>
    </w:p>
    <w:p w14:paraId="7AD7E4E9" w14:textId="77777777" w:rsidR="000B5E7C" w:rsidRDefault="000B5E7C">
      <w:pPr>
        <w:rPr>
          <w:rFonts w:ascii="Arial" w:hAnsi="Arial" w:cs="Arial"/>
        </w:rPr>
      </w:pPr>
    </w:p>
    <w:p w14:paraId="4775A658" w14:textId="77777777" w:rsidR="000B5E7C" w:rsidRDefault="000B5E7C">
      <w:pPr>
        <w:rPr>
          <w:rFonts w:ascii="Arial" w:hAnsi="Arial" w:cs="Arial"/>
        </w:rPr>
      </w:pPr>
    </w:p>
    <w:p w14:paraId="579803F6" w14:textId="77777777" w:rsidR="00D728E8" w:rsidRDefault="00D728E8">
      <w:pPr>
        <w:rPr>
          <w:rFonts w:ascii="Arial" w:hAnsi="Arial" w:cs="Arial"/>
        </w:rPr>
      </w:pPr>
    </w:p>
    <w:p w14:paraId="7DDCEAD3" w14:textId="77777777" w:rsidR="00D728E8" w:rsidRDefault="00D728E8">
      <w:pPr>
        <w:rPr>
          <w:rFonts w:ascii="Arial" w:hAnsi="Arial" w:cs="Arial"/>
        </w:rPr>
      </w:pPr>
    </w:p>
    <w:p w14:paraId="077B66CC" w14:textId="77777777" w:rsidR="000B5E7C" w:rsidRPr="0027706D" w:rsidRDefault="000B5E7C" w:rsidP="000B5E7C">
      <w:pPr>
        <w:rPr>
          <w:rFonts w:ascii="Arial" w:hAnsi="Arial" w:cs="Arial"/>
          <w:b/>
        </w:rPr>
      </w:pPr>
      <w:r w:rsidRPr="0027706D">
        <w:rPr>
          <w:rFonts w:ascii="Arial" w:hAnsi="Arial" w:cs="Arial"/>
          <w:b/>
        </w:rPr>
        <w:lastRenderedPageBreak/>
        <w:t>a. Starter activity</w:t>
      </w:r>
    </w:p>
    <w:p w14:paraId="24235802" w14:textId="77777777" w:rsidR="000B5E7C" w:rsidRDefault="000B5E7C" w:rsidP="000B5E7C">
      <w:pPr>
        <w:rPr>
          <w:rFonts w:ascii="Arial" w:hAnsi="Arial" w:cs="Arial"/>
        </w:rPr>
      </w:pPr>
    </w:p>
    <w:p w14:paraId="7AF40B88" w14:textId="159F22B9" w:rsidR="000B5E7C" w:rsidRPr="000B5E7C" w:rsidRDefault="000B5E7C" w:rsidP="000B5E7C">
      <w:pPr>
        <w:rPr>
          <w:rFonts w:ascii="Arial" w:hAnsi="Arial" w:cs="Arial"/>
          <w:i/>
        </w:rPr>
      </w:pPr>
    </w:p>
    <w:tbl>
      <w:tblPr>
        <w:tblStyle w:val="TableGrid"/>
        <w:tblW w:w="0" w:type="auto"/>
        <w:tblLook w:val="04A0" w:firstRow="1" w:lastRow="0" w:firstColumn="1" w:lastColumn="0" w:noHBand="0" w:noVBand="1"/>
      </w:tblPr>
      <w:tblGrid>
        <w:gridCol w:w="7905"/>
        <w:gridCol w:w="1151"/>
      </w:tblGrid>
      <w:tr w:rsidR="0027706D" w14:paraId="295C5210" w14:textId="77777777" w:rsidTr="0027706D">
        <w:tc>
          <w:tcPr>
            <w:tcW w:w="7905" w:type="dxa"/>
          </w:tcPr>
          <w:p w14:paraId="6F96CBF8" w14:textId="77777777" w:rsidR="0027706D" w:rsidRPr="00D92404" w:rsidRDefault="0027706D" w:rsidP="0027706D">
            <w:pPr>
              <w:rPr>
                <w:rFonts w:ascii="Arial" w:hAnsi="Arial" w:cs="Arial"/>
                <w:b/>
              </w:rPr>
            </w:pPr>
            <w:r w:rsidRPr="00D92404">
              <w:rPr>
                <w:rFonts w:ascii="Arial" w:hAnsi="Arial" w:cs="Arial"/>
                <w:b/>
              </w:rPr>
              <w:t>Activity</w:t>
            </w:r>
          </w:p>
        </w:tc>
        <w:tc>
          <w:tcPr>
            <w:tcW w:w="1151" w:type="dxa"/>
          </w:tcPr>
          <w:p w14:paraId="071BE794" w14:textId="77777777" w:rsidR="0027706D" w:rsidRPr="00D92404" w:rsidRDefault="0027706D" w:rsidP="0027706D">
            <w:pPr>
              <w:rPr>
                <w:rFonts w:ascii="Arial" w:hAnsi="Arial" w:cs="Arial"/>
                <w:b/>
              </w:rPr>
            </w:pPr>
            <w:r w:rsidRPr="00D92404">
              <w:rPr>
                <w:rFonts w:ascii="Arial" w:hAnsi="Arial" w:cs="Arial"/>
                <w:b/>
              </w:rPr>
              <w:t>Time</w:t>
            </w:r>
          </w:p>
        </w:tc>
      </w:tr>
      <w:tr w:rsidR="0027706D" w14:paraId="40B94D1E" w14:textId="77777777" w:rsidTr="0027706D">
        <w:tc>
          <w:tcPr>
            <w:tcW w:w="7905" w:type="dxa"/>
          </w:tcPr>
          <w:p w14:paraId="42F6CAF3" w14:textId="0C6B036A" w:rsidR="0027706D" w:rsidRPr="0027706D" w:rsidRDefault="0027706D" w:rsidP="0027706D">
            <w:pPr>
              <w:rPr>
                <w:rFonts w:ascii="Arial" w:hAnsi="Arial" w:cs="Arial"/>
                <w:b/>
              </w:rPr>
            </w:pPr>
            <w:r w:rsidRPr="0027706D">
              <w:rPr>
                <w:rFonts w:ascii="Arial" w:hAnsi="Arial" w:cs="Arial"/>
                <w:b/>
              </w:rPr>
              <w:t>1. Who influences me? Who do I influence?</w:t>
            </w:r>
          </w:p>
          <w:p w14:paraId="1B5C4F4D" w14:textId="63E3B2B0" w:rsidR="0027706D" w:rsidRDefault="0027706D" w:rsidP="0027706D">
            <w:pPr>
              <w:rPr>
                <w:rFonts w:ascii="Arial" w:hAnsi="Arial" w:cs="Arial"/>
              </w:rPr>
            </w:pPr>
            <w:r>
              <w:rPr>
                <w:rFonts w:ascii="Arial" w:hAnsi="Arial" w:cs="Arial"/>
              </w:rPr>
              <w:t>As a whole class, using flipchart/whiteboard, ask for some examples of who learners are influenced by (arrows pointing inwards to “me”) and then who learners influence (arrows pointing outwards from “me”)</w:t>
            </w:r>
            <w:r w:rsidR="0078312A">
              <w:rPr>
                <w:rFonts w:ascii="Arial" w:hAnsi="Arial" w:cs="Arial"/>
              </w:rPr>
              <w:t>.</w:t>
            </w:r>
            <w:r>
              <w:rPr>
                <w:rFonts w:ascii="Arial" w:hAnsi="Arial" w:cs="Arial"/>
              </w:rPr>
              <w:t xml:space="preserve"> </w:t>
            </w:r>
          </w:p>
          <w:p w14:paraId="4E3EF53D" w14:textId="10B6D108" w:rsidR="0027706D" w:rsidRDefault="0027706D" w:rsidP="0027706D">
            <w:pPr>
              <w:rPr>
                <w:rFonts w:ascii="Arial" w:hAnsi="Arial" w:cs="Arial"/>
              </w:rPr>
            </w:pPr>
            <w:r>
              <w:rPr>
                <w:rFonts w:ascii="Arial" w:hAnsi="Arial" w:cs="Arial"/>
              </w:rPr>
              <w:t>Individually fill in RS</w:t>
            </w:r>
            <w:r w:rsidR="0049256D">
              <w:rPr>
                <w:rFonts w:ascii="Arial" w:hAnsi="Arial" w:cs="Arial"/>
              </w:rPr>
              <w:t>47</w:t>
            </w:r>
            <w:r>
              <w:rPr>
                <w:rFonts w:ascii="Arial" w:hAnsi="Arial" w:cs="Arial"/>
              </w:rPr>
              <w:t xml:space="preserve"> influence diagram</w:t>
            </w:r>
            <w:r w:rsidR="0078312A">
              <w:rPr>
                <w:rFonts w:ascii="Arial" w:hAnsi="Arial" w:cs="Arial"/>
              </w:rPr>
              <w:t>.</w:t>
            </w:r>
          </w:p>
          <w:p w14:paraId="55C4F56B" w14:textId="77777777" w:rsidR="0027706D" w:rsidRPr="00B12C5E" w:rsidRDefault="0027706D" w:rsidP="0027706D">
            <w:pPr>
              <w:rPr>
                <w:rFonts w:ascii="Arial" w:hAnsi="Arial" w:cs="Arial"/>
              </w:rPr>
            </w:pPr>
          </w:p>
        </w:tc>
        <w:tc>
          <w:tcPr>
            <w:tcW w:w="1151" w:type="dxa"/>
          </w:tcPr>
          <w:p w14:paraId="00080043" w14:textId="22A0A8FE" w:rsidR="0027706D" w:rsidRDefault="004E5E3A" w:rsidP="0027706D">
            <w:pPr>
              <w:rPr>
                <w:rFonts w:ascii="Arial" w:hAnsi="Arial" w:cs="Arial"/>
              </w:rPr>
            </w:pPr>
            <w:r>
              <w:rPr>
                <w:rFonts w:ascii="Arial" w:hAnsi="Arial" w:cs="Arial"/>
              </w:rPr>
              <w:t>20 mins</w:t>
            </w:r>
            <w:r w:rsidR="0078312A">
              <w:rPr>
                <w:rFonts w:ascii="Arial" w:hAnsi="Arial" w:cs="Arial"/>
              </w:rPr>
              <w:t>.</w:t>
            </w:r>
          </w:p>
        </w:tc>
      </w:tr>
    </w:tbl>
    <w:p w14:paraId="7B2F4DA9" w14:textId="77777777" w:rsidR="00625EFC" w:rsidRDefault="00625EFC" w:rsidP="000B5E7C">
      <w:pPr>
        <w:rPr>
          <w:rFonts w:ascii="Arial" w:hAnsi="Arial" w:cs="Arial"/>
        </w:rPr>
      </w:pPr>
    </w:p>
    <w:p w14:paraId="2C9E8902" w14:textId="2234B07D" w:rsidR="000B5E7C" w:rsidRPr="0027706D" w:rsidRDefault="000B5E7C" w:rsidP="000B5E7C">
      <w:pPr>
        <w:rPr>
          <w:rFonts w:ascii="Arial" w:hAnsi="Arial" w:cs="Arial"/>
          <w:b/>
        </w:rPr>
      </w:pPr>
      <w:r w:rsidRPr="0027706D">
        <w:rPr>
          <w:rFonts w:ascii="Arial" w:hAnsi="Arial" w:cs="Arial"/>
          <w:b/>
        </w:rPr>
        <w:t xml:space="preserve">b. Main activities </w:t>
      </w:r>
    </w:p>
    <w:p w14:paraId="58FACA39" w14:textId="77777777" w:rsidR="000B5E7C" w:rsidRDefault="000B5E7C" w:rsidP="000B5E7C">
      <w:pPr>
        <w:rPr>
          <w:rFonts w:ascii="Arial" w:hAnsi="Arial" w:cs="Arial"/>
        </w:rPr>
      </w:pPr>
    </w:p>
    <w:tbl>
      <w:tblPr>
        <w:tblStyle w:val="TableGrid"/>
        <w:tblW w:w="9039" w:type="dxa"/>
        <w:tblLook w:val="04A0" w:firstRow="1" w:lastRow="0" w:firstColumn="1" w:lastColumn="0" w:noHBand="0" w:noVBand="1"/>
      </w:tblPr>
      <w:tblGrid>
        <w:gridCol w:w="7905"/>
        <w:gridCol w:w="1134"/>
      </w:tblGrid>
      <w:tr w:rsidR="0027706D" w14:paraId="4DEC43B8" w14:textId="77777777" w:rsidTr="0027706D">
        <w:tc>
          <w:tcPr>
            <w:tcW w:w="7905" w:type="dxa"/>
          </w:tcPr>
          <w:p w14:paraId="37887E32" w14:textId="77777777" w:rsidR="0027706D" w:rsidRPr="00D92404" w:rsidRDefault="0027706D" w:rsidP="0027706D">
            <w:pPr>
              <w:rPr>
                <w:rFonts w:ascii="Arial" w:hAnsi="Arial" w:cs="Arial"/>
                <w:b/>
              </w:rPr>
            </w:pPr>
            <w:r w:rsidRPr="00D92404">
              <w:rPr>
                <w:rFonts w:ascii="Arial" w:hAnsi="Arial" w:cs="Arial"/>
                <w:b/>
              </w:rPr>
              <w:t>Activity</w:t>
            </w:r>
          </w:p>
        </w:tc>
        <w:tc>
          <w:tcPr>
            <w:tcW w:w="1134" w:type="dxa"/>
          </w:tcPr>
          <w:p w14:paraId="0A5E1BE9" w14:textId="77777777" w:rsidR="0027706D" w:rsidRPr="00D92404" w:rsidRDefault="0027706D" w:rsidP="0027706D">
            <w:pPr>
              <w:rPr>
                <w:rFonts w:ascii="Arial" w:hAnsi="Arial" w:cs="Arial"/>
                <w:b/>
              </w:rPr>
            </w:pPr>
            <w:r w:rsidRPr="00D92404">
              <w:rPr>
                <w:rFonts w:ascii="Arial" w:hAnsi="Arial" w:cs="Arial"/>
                <w:b/>
              </w:rPr>
              <w:t>Time</w:t>
            </w:r>
          </w:p>
        </w:tc>
      </w:tr>
      <w:tr w:rsidR="0027706D" w14:paraId="13A7A1E4" w14:textId="77777777" w:rsidTr="0027706D">
        <w:tc>
          <w:tcPr>
            <w:tcW w:w="7905" w:type="dxa"/>
          </w:tcPr>
          <w:p w14:paraId="2EA45633" w14:textId="77777777" w:rsidR="0027706D" w:rsidRDefault="0027706D" w:rsidP="0027706D">
            <w:pPr>
              <w:rPr>
                <w:rFonts w:ascii="Arial" w:hAnsi="Arial" w:cs="Arial"/>
              </w:rPr>
            </w:pPr>
            <w:r w:rsidRPr="00B12C5E">
              <w:rPr>
                <w:rFonts w:ascii="Arial" w:hAnsi="Arial" w:cs="Arial"/>
              </w:rPr>
              <w:t>1.</w:t>
            </w:r>
            <w:r>
              <w:rPr>
                <w:rFonts w:ascii="Arial" w:hAnsi="Arial" w:cs="Arial"/>
              </w:rPr>
              <w:t xml:space="preserve"> Introduce Wangari Maathai with quote</w:t>
            </w:r>
          </w:p>
          <w:p w14:paraId="0F9A3151" w14:textId="2A0BB2AC" w:rsidR="0027706D" w:rsidRDefault="0027706D" w:rsidP="0027706D">
            <w:pPr>
              <w:rPr>
                <w:rFonts w:ascii="Arial" w:hAnsi="Arial" w:cs="Arial"/>
              </w:rPr>
            </w:pPr>
            <w:r>
              <w:rPr>
                <w:rFonts w:ascii="Arial" w:hAnsi="Arial" w:cs="Arial"/>
              </w:rPr>
              <w:t>“When we plant trees, we plant the seeds of peace and the seeds of hope” (PowerPoint)</w:t>
            </w:r>
            <w:r w:rsidR="0078312A">
              <w:rPr>
                <w:rFonts w:ascii="Arial" w:hAnsi="Arial" w:cs="Arial"/>
              </w:rPr>
              <w:t>.</w:t>
            </w:r>
          </w:p>
          <w:p w14:paraId="7BEED3F0" w14:textId="3E0F8046" w:rsidR="0027706D" w:rsidRPr="00B12C5E" w:rsidRDefault="0027706D" w:rsidP="0027706D">
            <w:pPr>
              <w:rPr>
                <w:rFonts w:ascii="Arial" w:hAnsi="Arial" w:cs="Arial"/>
              </w:rPr>
            </w:pPr>
            <w:r>
              <w:rPr>
                <w:rFonts w:ascii="Arial" w:hAnsi="Arial" w:cs="Arial"/>
              </w:rPr>
              <w:t>Ask learners – What does this mean to you?</w:t>
            </w:r>
          </w:p>
        </w:tc>
        <w:tc>
          <w:tcPr>
            <w:tcW w:w="1134" w:type="dxa"/>
          </w:tcPr>
          <w:p w14:paraId="1445A62F" w14:textId="087FCDED" w:rsidR="0027706D" w:rsidRDefault="004E5E3A" w:rsidP="0027706D">
            <w:pPr>
              <w:rPr>
                <w:rFonts w:ascii="Arial" w:hAnsi="Arial" w:cs="Arial"/>
              </w:rPr>
            </w:pPr>
            <w:r>
              <w:rPr>
                <w:rFonts w:ascii="Arial" w:hAnsi="Arial" w:cs="Arial"/>
              </w:rPr>
              <w:t>5 mins</w:t>
            </w:r>
            <w:r w:rsidR="0078312A">
              <w:rPr>
                <w:rFonts w:ascii="Arial" w:hAnsi="Arial" w:cs="Arial"/>
              </w:rPr>
              <w:t>.</w:t>
            </w:r>
          </w:p>
        </w:tc>
      </w:tr>
      <w:tr w:rsidR="0027706D" w14:paraId="7A1912FA" w14:textId="77777777" w:rsidTr="0027706D">
        <w:tc>
          <w:tcPr>
            <w:tcW w:w="7905" w:type="dxa"/>
          </w:tcPr>
          <w:p w14:paraId="152463DF" w14:textId="4319E1D4" w:rsidR="0027706D" w:rsidRDefault="0027706D" w:rsidP="0027706D">
            <w:pPr>
              <w:rPr>
                <w:rFonts w:ascii="Arial" w:hAnsi="Arial" w:cs="Arial"/>
              </w:rPr>
            </w:pPr>
            <w:r>
              <w:rPr>
                <w:rFonts w:ascii="Arial" w:hAnsi="Arial" w:cs="Arial"/>
              </w:rPr>
              <w:t xml:space="preserve">2. Introduce story of the Green Belt Movement using 7-minute film Planting Hope: </w:t>
            </w:r>
          </w:p>
          <w:p w14:paraId="4E5DF92E" w14:textId="6CB26AB5" w:rsidR="0027706D" w:rsidRDefault="00D3646D" w:rsidP="0027706D">
            <w:pPr>
              <w:rPr>
                <w:rFonts w:ascii="Arial" w:hAnsi="Arial" w:cs="Arial"/>
              </w:rPr>
            </w:pPr>
            <w:hyperlink r:id="rId7" w:history="1">
              <w:r w:rsidR="0027706D" w:rsidRPr="00CD20D7">
                <w:rPr>
                  <w:rStyle w:val="Hyperlink"/>
                  <w:rFonts w:ascii="Arial" w:hAnsi="Arial" w:cs="Arial"/>
                </w:rPr>
                <w:t>http://www.greenbeltmovement.org/wangari-maathai/taking-root-documentary</w:t>
              </w:r>
            </w:hyperlink>
          </w:p>
          <w:p w14:paraId="20FA7289" w14:textId="639E638D" w:rsidR="0027706D" w:rsidRDefault="0027706D" w:rsidP="0027706D">
            <w:pPr>
              <w:rPr>
                <w:rFonts w:ascii="Arial" w:hAnsi="Arial" w:cs="Arial"/>
              </w:rPr>
            </w:pPr>
          </w:p>
        </w:tc>
        <w:tc>
          <w:tcPr>
            <w:tcW w:w="1134" w:type="dxa"/>
          </w:tcPr>
          <w:p w14:paraId="4308A8EB" w14:textId="1DD24575" w:rsidR="0027706D" w:rsidRDefault="004E5E3A" w:rsidP="0027706D">
            <w:pPr>
              <w:rPr>
                <w:rFonts w:ascii="Arial" w:hAnsi="Arial" w:cs="Arial"/>
              </w:rPr>
            </w:pPr>
            <w:r>
              <w:rPr>
                <w:rFonts w:ascii="Arial" w:hAnsi="Arial" w:cs="Arial"/>
              </w:rPr>
              <w:t>10 mins</w:t>
            </w:r>
            <w:r w:rsidR="0078312A">
              <w:rPr>
                <w:rFonts w:ascii="Arial" w:hAnsi="Arial" w:cs="Arial"/>
              </w:rPr>
              <w:t>.</w:t>
            </w:r>
          </w:p>
        </w:tc>
      </w:tr>
      <w:tr w:rsidR="0027706D" w14:paraId="3AC1C4F0" w14:textId="77777777" w:rsidTr="0027706D">
        <w:tc>
          <w:tcPr>
            <w:tcW w:w="7905" w:type="dxa"/>
          </w:tcPr>
          <w:p w14:paraId="35FACA79" w14:textId="097BC1BD" w:rsidR="0027706D" w:rsidRDefault="0027706D" w:rsidP="005522F4">
            <w:pPr>
              <w:rPr>
                <w:rFonts w:ascii="Arial" w:hAnsi="Arial" w:cs="Arial"/>
              </w:rPr>
            </w:pPr>
            <w:r>
              <w:rPr>
                <w:rFonts w:ascii="Arial" w:hAnsi="Arial" w:cs="Arial"/>
              </w:rPr>
              <w:t>3. Using Pictures from 1 – 6</w:t>
            </w:r>
            <w:r w:rsidR="004E5E3A">
              <w:rPr>
                <w:rFonts w:ascii="Arial" w:hAnsi="Arial" w:cs="Arial"/>
              </w:rPr>
              <w:t>,</w:t>
            </w:r>
            <w:r>
              <w:rPr>
                <w:rFonts w:ascii="Arial" w:hAnsi="Arial" w:cs="Arial"/>
              </w:rPr>
              <w:t xml:space="preserve"> in groups</w:t>
            </w:r>
            <w:r w:rsidR="004E5E3A">
              <w:rPr>
                <w:rFonts w:ascii="Arial" w:hAnsi="Arial" w:cs="Arial"/>
              </w:rPr>
              <w:t>,</w:t>
            </w:r>
            <w:r>
              <w:rPr>
                <w:rFonts w:ascii="Arial" w:hAnsi="Arial" w:cs="Arial"/>
              </w:rPr>
              <w:t xml:space="preserve"> learners put the pictures in order and retell</w:t>
            </w:r>
            <w:r w:rsidR="004E5E3A">
              <w:rPr>
                <w:rFonts w:ascii="Arial" w:hAnsi="Arial" w:cs="Arial"/>
              </w:rPr>
              <w:t xml:space="preserve"> </w:t>
            </w:r>
            <w:r>
              <w:rPr>
                <w:rFonts w:ascii="Arial" w:hAnsi="Arial" w:cs="Arial"/>
              </w:rPr>
              <w:t>/ write the story for younger learners (RS</w:t>
            </w:r>
            <w:r w:rsidR="0049256D">
              <w:rPr>
                <w:rFonts w:ascii="Arial" w:hAnsi="Arial" w:cs="Arial"/>
              </w:rPr>
              <w:t>48</w:t>
            </w:r>
            <w:r>
              <w:rPr>
                <w:rFonts w:ascii="Arial" w:hAnsi="Arial" w:cs="Arial"/>
              </w:rPr>
              <w:t>)</w:t>
            </w:r>
          </w:p>
        </w:tc>
        <w:tc>
          <w:tcPr>
            <w:tcW w:w="1134" w:type="dxa"/>
          </w:tcPr>
          <w:p w14:paraId="71364E35" w14:textId="26BF4C3B" w:rsidR="0027706D" w:rsidRDefault="004E5E3A" w:rsidP="0027706D">
            <w:pPr>
              <w:rPr>
                <w:rFonts w:ascii="Arial" w:hAnsi="Arial" w:cs="Arial"/>
              </w:rPr>
            </w:pPr>
            <w:r>
              <w:rPr>
                <w:rFonts w:ascii="Arial" w:hAnsi="Arial" w:cs="Arial"/>
              </w:rPr>
              <w:t>30 mins</w:t>
            </w:r>
            <w:r w:rsidR="0078312A">
              <w:rPr>
                <w:rFonts w:ascii="Arial" w:hAnsi="Arial" w:cs="Arial"/>
              </w:rPr>
              <w:t>.</w:t>
            </w:r>
          </w:p>
        </w:tc>
      </w:tr>
      <w:tr w:rsidR="0027706D" w14:paraId="69CE5189" w14:textId="77777777" w:rsidTr="0027706D">
        <w:tc>
          <w:tcPr>
            <w:tcW w:w="7905" w:type="dxa"/>
          </w:tcPr>
          <w:p w14:paraId="2170AFBD" w14:textId="21F3B27A" w:rsidR="0027706D" w:rsidRDefault="0027706D" w:rsidP="0027706D">
            <w:pPr>
              <w:rPr>
                <w:rFonts w:ascii="Arial" w:hAnsi="Arial" w:cs="Arial"/>
              </w:rPr>
            </w:pPr>
            <w:r>
              <w:rPr>
                <w:rFonts w:ascii="Arial" w:hAnsi="Arial" w:cs="Arial"/>
              </w:rPr>
              <w:t xml:space="preserve">4. Plenary – who was Maathai influenced by and </w:t>
            </w:r>
            <w:r w:rsidR="0078312A">
              <w:rPr>
                <w:rFonts w:ascii="Arial" w:hAnsi="Arial" w:cs="Arial"/>
              </w:rPr>
              <w:t>who</w:t>
            </w:r>
            <w:r>
              <w:rPr>
                <w:rFonts w:ascii="Arial" w:hAnsi="Arial" w:cs="Arial"/>
              </w:rPr>
              <w:t xml:space="preserve"> did she influence? </w:t>
            </w:r>
          </w:p>
          <w:p w14:paraId="0201163F" w14:textId="77777777" w:rsidR="0027706D" w:rsidRDefault="0027706D" w:rsidP="0027706D">
            <w:pPr>
              <w:rPr>
                <w:rFonts w:ascii="Arial" w:hAnsi="Arial" w:cs="Arial"/>
              </w:rPr>
            </w:pPr>
          </w:p>
          <w:p w14:paraId="1F385EF1" w14:textId="7B12A1F9" w:rsidR="0027706D" w:rsidRDefault="0027706D" w:rsidP="0027706D">
            <w:pPr>
              <w:rPr>
                <w:rFonts w:ascii="Arial" w:hAnsi="Arial" w:cs="Arial"/>
              </w:rPr>
            </w:pPr>
            <w:r>
              <w:rPr>
                <w:rFonts w:ascii="Arial" w:hAnsi="Arial" w:cs="Arial"/>
              </w:rPr>
              <w:t>Summarise story in six words.</w:t>
            </w:r>
          </w:p>
        </w:tc>
        <w:tc>
          <w:tcPr>
            <w:tcW w:w="1134" w:type="dxa"/>
          </w:tcPr>
          <w:p w14:paraId="509F0C28" w14:textId="13DC4C27" w:rsidR="0027706D" w:rsidRDefault="004E5E3A" w:rsidP="0027706D">
            <w:pPr>
              <w:rPr>
                <w:rFonts w:ascii="Arial" w:hAnsi="Arial" w:cs="Arial"/>
              </w:rPr>
            </w:pPr>
            <w:r>
              <w:rPr>
                <w:rFonts w:ascii="Arial" w:hAnsi="Arial" w:cs="Arial"/>
              </w:rPr>
              <w:t>15 mins</w:t>
            </w:r>
            <w:r w:rsidR="0078312A">
              <w:rPr>
                <w:rFonts w:ascii="Arial" w:hAnsi="Arial" w:cs="Arial"/>
              </w:rPr>
              <w:t>.</w:t>
            </w:r>
          </w:p>
        </w:tc>
      </w:tr>
    </w:tbl>
    <w:p w14:paraId="282CC4E6" w14:textId="77777777" w:rsidR="000B5E7C" w:rsidRDefault="000B5E7C" w:rsidP="000B5E7C">
      <w:pPr>
        <w:rPr>
          <w:rFonts w:ascii="Arial" w:hAnsi="Arial" w:cs="Arial"/>
        </w:rPr>
      </w:pPr>
    </w:p>
    <w:p w14:paraId="53F8B333" w14:textId="77777777" w:rsidR="000B5E7C" w:rsidRDefault="000B5E7C" w:rsidP="000B5E7C">
      <w:pPr>
        <w:rPr>
          <w:rFonts w:ascii="Arial" w:hAnsi="Arial" w:cs="Arial"/>
        </w:rPr>
      </w:pPr>
      <w:bookmarkStart w:id="0" w:name="_GoBack"/>
      <w:bookmarkEnd w:id="0"/>
    </w:p>
    <w:p w14:paraId="06FF97E1" w14:textId="77777777" w:rsidR="000B5E7C" w:rsidRPr="0027706D" w:rsidRDefault="000B5E7C" w:rsidP="000B5E7C">
      <w:pPr>
        <w:rPr>
          <w:rFonts w:ascii="Arial" w:hAnsi="Arial" w:cs="Arial"/>
          <w:b/>
        </w:rPr>
      </w:pPr>
      <w:r w:rsidRPr="0027706D">
        <w:rPr>
          <w:rFonts w:ascii="Arial" w:hAnsi="Arial" w:cs="Arial"/>
          <w:b/>
        </w:rPr>
        <w:t>c. Reflection / evaluation</w:t>
      </w:r>
    </w:p>
    <w:p w14:paraId="167238E1" w14:textId="145EFD52" w:rsidR="000B5E7C" w:rsidRDefault="00300B49" w:rsidP="000B5E7C">
      <w:pPr>
        <w:rPr>
          <w:rFonts w:ascii="Arial" w:hAnsi="Arial" w:cs="Arial"/>
        </w:rPr>
      </w:pPr>
      <w:r>
        <w:rPr>
          <w:rFonts w:ascii="Arial" w:hAnsi="Arial" w:cs="Arial"/>
        </w:rPr>
        <w:t>What are the similarities and differences between the Green Belt Movement in Kenya and the Chipko Movement in India?</w:t>
      </w:r>
    </w:p>
    <w:p w14:paraId="1D12BAEE" w14:textId="77777777" w:rsidR="0078312A" w:rsidRDefault="0078312A" w:rsidP="000B5E7C">
      <w:pPr>
        <w:rPr>
          <w:rFonts w:ascii="Arial" w:hAnsi="Arial" w:cs="Arial"/>
        </w:rPr>
      </w:pPr>
    </w:p>
    <w:p w14:paraId="5C6A02EB" w14:textId="51010ED8" w:rsidR="000B5E7C" w:rsidRDefault="000B5E7C" w:rsidP="000B5E7C">
      <w:pPr>
        <w:rPr>
          <w:rFonts w:ascii="Arial" w:hAnsi="Arial" w:cs="Arial"/>
          <w:b/>
        </w:rPr>
      </w:pPr>
      <w:r w:rsidRPr="0027706D">
        <w:rPr>
          <w:rFonts w:ascii="Arial" w:hAnsi="Arial" w:cs="Arial"/>
          <w:b/>
        </w:rPr>
        <w:t xml:space="preserve">d. Suggested follow-up activities </w:t>
      </w:r>
    </w:p>
    <w:p w14:paraId="6843195F" w14:textId="77777777" w:rsidR="00D92D9C" w:rsidRDefault="00D92D9C" w:rsidP="000B5E7C">
      <w:pPr>
        <w:rPr>
          <w:rFonts w:ascii="Arial" w:hAnsi="Arial" w:cs="Arial"/>
        </w:rPr>
      </w:pPr>
    </w:p>
    <w:p w14:paraId="4FEFFF8C" w14:textId="32B81BE1" w:rsidR="00211838" w:rsidRDefault="00211838" w:rsidP="000B5E7C">
      <w:pPr>
        <w:rPr>
          <w:rFonts w:ascii="Arial" w:hAnsi="Arial" w:cs="Arial"/>
        </w:rPr>
      </w:pPr>
      <w:r>
        <w:rPr>
          <w:rFonts w:ascii="Arial" w:hAnsi="Arial" w:cs="Arial"/>
        </w:rPr>
        <w:t>See follow-up activities in Chipko case study.</w:t>
      </w:r>
    </w:p>
    <w:p w14:paraId="45BFCDA9" w14:textId="77777777" w:rsidR="00D92D9C" w:rsidRDefault="00D92D9C" w:rsidP="000B5E7C">
      <w:pPr>
        <w:rPr>
          <w:rFonts w:ascii="Arial" w:hAnsi="Arial" w:cs="Arial"/>
        </w:rPr>
      </w:pPr>
    </w:p>
    <w:p w14:paraId="5F22D80E" w14:textId="1F445537" w:rsidR="00D92D9C" w:rsidRDefault="00D92D9C" w:rsidP="000B5E7C">
      <w:pPr>
        <w:rPr>
          <w:rFonts w:ascii="Arial" w:hAnsi="Arial" w:cs="Arial"/>
        </w:rPr>
      </w:pPr>
      <w:r>
        <w:rPr>
          <w:rFonts w:ascii="Arial" w:hAnsi="Arial" w:cs="Arial"/>
        </w:rPr>
        <w:t xml:space="preserve">Use the lesson plans on the Green Belt Movement site: </w:t>
      </w:r>
      <w:hyperlink r:id="rId8" w:history="1">
        <w:r w:rsidRPr="00786D39">
          <w:rPr>
            <w:rStyle w:val="Hyperlink"/>
            <w:rFonts w:ascii="Arial" w:hAnsi="Arial" w:cs="Arial"/>
          </w:rPr>
          <w:t>https://www.pbs.org/independentlens/takingroot/classroom.html</w:t>
        </w:r>
      </w:hyperlink>
    </w:p>
    <w:p w14:paraId="2D372DA4" w14:textId="7A646542" w:rsidR="00D92D9C" w:rsidRPr="00D92D9C" w:rsidRDefault="00D92D9C" w:rsidP="00D92D9C">
      <w:pPr>
        <w:rPr>
          <w:rFonts w:ascii="Arial" w:hAnsi="Arial" w:cs="Arial"/>
          <w:b/>
          <w:bCs/>
        </w:rPr>
      </w:pPr>
      <w:r w:rsidRPr="00D92D9C">
        <w:rPr>
          <w:rFonts w:ascii="Arial" w:hAnsi="Arial" w:cs="Arial"/>
          <w:b/>
          <w:bCs/>
        </w:rPr>
        <w:t>Lesson 1: From Roots to Branches: The Interconnectedness of Environment, Culture and Social Justice Grade Levels: 9 to 12, College</w:t>
      </w:r>
    </w:p>
    <w:p w14:paraId="38DEAD77" w14:textId="16A4FB37" w:rsidR="00D92D9C" w:rsidRPr="00D92D9C" w:rsidRDefault="00D92D9C" w:rsidP="00D92D9C">
      <w:pPr>
        <w:rPr>
          <w:rFonts w:ascii="Arial" w:hAnsi="Arial" w:cs="Arial"/>
        </w:rPr>
      </w:pPr>
      <w:r w:rsidRPr="00D92D9C">
        <w:rPr>
          <w:rFonts w:ascii="Arial" w:hAnsi="Arial" w:cs="Arial"/>
        </w:rPr>
        <w:t xml:space="preserve">In this lesson, students will examine how Kenya’s history as a colonized nation has contributed to their challenges with deforestation. Historical footage documents the extensive clearing of the land, and the displacement of the tribes and tribal life, which took place during the period of British colonialism beginning in the 1880s. They will also learn that the clearing of forested land continued when Kenya returned to </w:t>
      </w:r>
      <w:r w:rsidR="0078312A" w:rsidRPr="00D92D9C">
        <w:rPr>
          <w:rFonts w:ascii="Arial" w:hAnsi="Arial" w:cs="Arial"/>
        </w:rPr>
        <w:t>self-rule</w:t>
      </w:r>
      <w:r w:rsidRPr="00D92D9C">
        <w:rPr>
          <w:rFonts w:ascii="Arial" w:hAnsi="Arial" w:cs="Arial"/>
        </w:rPr>
        <w:t xml:space="preserve"> beginning in 1963. Students will then identify how this environmental degradation is related to other social, political and economic problems that affect the country’s marginalized citizens. Students will recognize that the core of the Green Belt Movement’s civic action extends beyond environmentalism.</w:t>
      </w:r>
    </w:p>
    <w:p w14:paraId="7B468200" w14:textId="5E92EDF6" w:rsidR="00D92D9C" w:rsidRPr="00D92D9C" w:rsidRDefault="00D92D9C" w:rsidP="00D92D9C">
      <w:pPr>
        <w:rPr>
          <w:rFonts w:ascii="Arial" w:hAnsi="Arial" w:cs="Arial"/>
          <w:b/>
          <w:bCs/>
        </w:rPr>
      </w:pPr>
      <w:r w:rsidRPr="00D92D9C">
        <w:rPr>
          <w:rFonts w:ascii="Arial" w:hAnsi="Arial" w:cs="Arial"/>
          <w:b/>
          <w:bCs/>
        </w:rPr>
        <w:t>Lesson 2: The Green Belt Movement: Evaluating Citizen Action and Environmental Change Strategies Grade Levels: 9 to 12, College</w:t>
      </w:r>
    </w:p>
    <w:p w14:paraId="5AF62944" w14:textId="77777777" w:rsidR="00D92D9C" w:rsidRPr="00D92D9C" w:rsidRDefault="00D92D9C" w:rsidP="00D92D9C">
      <w:pPr>
        <w:rPr>
          <w:rFonts w:ascii="Arial" w:hAnsi="Arial" w:cs="Arial"/>
        </w:rPr>
      </w:pPr>
      <w:r w:rsidRPr="00D92D9C">
        <w:rPr>
          <w:rFonts w:ascii="Arial" w:hAnsi="Arial" w:cs="Arial"/>
        </w:rPr>
        <w:t>In this lesson, students examine the community organizing/civic action steps that the Green Belt Movement (GBM) took to address Kenya’s deforestation and to tackle the issues closely connected to this environmental issue, including women’s rights, equitable economic development, political governance and the sustainable management of scarce resources. Students can use this investigation to help reach an overall understanding of the strategies that “change makers” and organizations use to address the issues they attempt to impact—leading them to the research of two activist organizations of their choice.</w:t>
      </w:r>
    </w:p>
    <w:p w14:paraId="76745DFE" w14:textId="77777777" w:rsidR="00D92D9C" w:rsidRPr="00D92D9C" w:rsidRDefault="00D92D9C" w:rsidP="00D92D9C">
      <w:pPr>
        <w:rPr>
          <w:rFonts w:ascii="Arial" w:hAnsi="Arial" w:cs="Arial"/>
          <w:b/>
          <w:bCs/>
        </w:rPr>
      </w:pPr>
      <w:r w:rsidRPr="00D92D9C">
        <w:rPr>
          <w:rFonts w:ascii="Arial" w:hAnsi="Arial" w:cs="Arial"/>
          <w:b/>
          <w:bCs/>
        </w:rPr>
        <w:t>TAKING ROOT Video Module 1: Kenya and Wangari Maathai</w:t>
      </w:r>
    </w:p>
    <w:p w14:paraId="6946C2FF" w14:textId="77777777" w:rsidR="00D92D9C" w:rsidRPr="00D92D9C" w:rsidRDefault="00D92D9C" w:rsidP="00D92D9C">
      <w:pPr>
        <w:rPr>
          <w:rFonts w:ascii="Arial" w:hAnsi="Arial" w:cs="Arial"/>
        </w:rPr>
      </w:pPr>
      <w:r w:rsidRPr="00D92D9C">
        <w:rPr>
          <w:rFonts w:ascii="Arial" w:hAnsi="Arial" w:cs="Arial"/>
        </w:rPr>
        <w:t>This module portrays the story of Wangari Maathai, the first environmentalist and first African woman to win the Nobel Peace Prize. Short clips examine her personal philosophy, leadership of Kenya’s Green Belt Movement, and her ability to empower rural women to mobilize around Kenya’s issues of dwindling natural resources, widespread poverty and oppressive government practices.</w:t>
      </w:r>
    </w:p>
    <w:p w14:paraId="55451802" w14:textId="77777777" w:rsidR="00D92D9C" w:rsidRPr="00D92D9C" w:rsidRDefault="00D92D9C" w:rsidP="00D92D9C">
      <w:pPr>
        <w:rPr>
          <w:rFonts w:ascii="Arial" w:hAnsi="Arial" w:cs="Arial"/>
          <w:b/>
          <w:bCs/>
        </w:rPr>
      </w:pPr>
      <w:r w:rsidRPr="00D92D9C">
        <w:rPr>
          <w:rFonts w:ascii="Arial" w:hAnsi="Arial" w:cs="Arial"/>
          <w:b/>
          <w:bCs/>
        </w:rPr>
        <w:t>TAKING ROOT Video Module 2: The Green Belt Movement</w:t>
      </w:r>
    </w:p>
    <w:p w14:paraId="56B6F9B0" w14:textId="77777777" w:rsidR="00D92D9C" w:rsidRPr="00D92D9C" w:rsidRDefault="00D92D9C" w:rsidP="00D92D9C">
      <w:pPr>
        <w:rPr>
          <w:rFonts w:ascii="Arial" w:hAnsi="Arial" w:cs="Arial"/>
        </w:rPr>
      </w:pPr>
      <w:r w:rsidRPr="00D92D9C">
        <w:rPr>
          <w:rFonts w:ascii="Arial" w:hAnsi="Arial" w:cs="Arial"/>
        </w:rPr>
        <w:t>This module builds on Video Module 1 by showing how Wangari Maathai and the Green Belt movement mobilized citizens to stand up to their government and demand social and environmental justice. Short clips depict the strategies and tactics that rural women, Maathai and other activists used to protect critical public lands, fight for human rights and protest political corruption.</w:t>
      </w:r>
    </w:p>
    <w:p w14:paraId="4495C388" w14:textId="77777777" w:rsidR="00D92D9C" w:rsidRPr="00D92D9C" w:rsidRDefault="00D92D9C" w:rsidP="00D92D9C">
      <w:pPr>
        <w:rPr>
          <w:rFonts w:ascii="Arial" w:hAnsi="Arial" w:cs="Arial"/>
        </w:rPr>
      </w:pPr>
    </w:p>
    <w:p w14:paraId="51B1939C" w14:textId="77777777" w:rsidR="00D92D9C" w:rsidRPr="00D92D9C" w:rsidRDefault="00D92D9C" w:rsidP="00D92D9C">
      <w:pPr>
        <w:rPr>
          <w:rFonts w:ascii="Arial" w:hAnsi="Arial" w:cs="Arial"/>
        </w:rPr>
      </w:pPr>
    </w:p>
    <w:p w14:paraId="4F8F2FBF" w14:textId="77777777" w:rsidR="00D92D9C" w:rsidRDefault="00D92D9C" w:rsidP="000B5E7C">
      <w:pPr>
        <w:rPr>
          <w:rFonts w:ascii="Arial" w:hAnsi="Arial" w:cs="Arial"/>
        </w:rPr>
      </w:pPr>
    </w:p>
    <w:p w14:paraId="56C78AEB" w14:textId="77777777" w:rsidR="00D92D9C" w:rsidRPr="00211838" w:rsidRDefault="00D92D9C" w:rsidP="000B5E7C">
      <w:pPr>
        <w:rPr>
          <w:rFonts w:ascii="Arial" w:hAnsi="Arial" w:cs="Arial"/>
          <w:i/>
        </w:rPr>
      </w:pPr>
    </w:p>
    <w:p w14:paraId="69FED493" w14:textId="77777777" w:rsidR="000B5E7C" w:rsidRDefault="000B5E7C" w:rsidP="000B5E7C">
      <w:pPr>
        <w:rPr>
          <w:rFonts w:ascii="Arial" w:hAnsi="Arial" w:cs="Arial"/>
          <w:i/>
        </w:rPr>
      </w:pPr>
    </w:p>
    <w:p w14:paraId="51420BE9" w14:textId="77777777" w:rsidR="00832AC9" w:rsidRDefault="00832AC9" w:rsidP="000B5E7C">
      <w:pPr>
        <w:rPr>
          <w:rFonts w:ascii="Arial" w:hAnsi="Arial" w:cs="Arial"/>
          <w:i/>
        </w:rPr>
      </w:pPr>
    </w:p>
    <w:p w14:paraId="702DF81F" w14:textId="77777777" w:rsidR="000B5E7C" w:rsidRDefault="000B5E7C" w:rsidP="000B5E7C">
      <w:pPr>
        <w:rPr>
          <w:rFonts w:ascii="Arial" w:hAnsi="Arial" w:cs="Arial"/>
        </w:rPr>
      </w:pPr>
    </w:p>
    <w:p w14:paraId="159A38BE" w14:textId="1AE7FDD2" w:rsidR="00C577D2" w:rsidRPr="000B5E7C" w:rsidRDefault="00C577D2" w:rsidP="000B5E7C">
      <w:pPr>
        <w:rPr>
          <w:rFonts w:ascii="Arial" w:hAnsi="Arial" w:cs="Arial"/>
        </w:rPr>
      </w:pPr>
    </w:p>
    <w:sectPr w:rsidR="00C577D2" w:rsidRPr="000B5E7C" w:rsidSect="00227763">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81735" w14:textId="77777777" w:rsidR="00D3646D" w:rsidRDefault="00D3646D" w:rsidP="00C577D2">
      <w:r>
        <w:separator/>
      </w:r>
    </w:p>
  </w:endnote>
  <w:endnote w:type="continuationSeparator" w:id="0">
    <w:p w14:paraId="3ACDF2F6" w14:textId="77777777" w:rsidR="00D3646D" w:rsidRDefault="00D3646D" w:rsidP="00C5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255BD" w14:textId="77777777" w:rsidR="008F3B26" w:rsidRDefault="008F3B26" w:rsidP="008F3B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D2431" w14:textId="77777777" w:rsidR="008F3B26" w:rsidRDefault="008F3B26" w:rsidP="00AC05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01E6F" w14:textId="77777777" w:rsidR="008F3B26" w:rsidRDefault="008F3B26" w:rsidP="008F3B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46D">
      <w:rPr>
        <w:rStyle w:val="PageNumber"/>
        <w:noProof/>
      </w:rPr>
      <w:t>1</w:t>
    </w:r>
    <w:r>
      <w:rPr>
        <w:rStyle w:val="PageNumber"/>
      </w:rPr>
      <w:fldChar w:fldCharType="end"/>
    </w:r>
  </w:p>
  <w:p w14:paraId="573F8D79" w14:textId="4ED1261F" w:rsidR="008F3B26" w:rsidRDefault="008F3B26" w:rsidP="00AC05AC">
    <w:pPr>
      <w:pStyle w:val="Footer"/>
      <w:ind w:right="360"/>
    </w:pPr>
    <w:r>
      <w:rPr>
        <w:noProof/>
        <w:lang w:eastAsia="en-GB"/>
      </w:rPr>
      <w:drawing>
        <wp:inline distT="0" distB="0" distL="0" distR="0" wp14:anchorId="4204B31C" wp14:editId="49581DA7">
          <wp:extent cx="357179" cy="3634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Pr="0027706D">
      <w:rPr>
        <w:rFonts w:ascii="Arial" w:hAnsi="Arial"/>
      </w:rPr>
      <w:t>DECSY 202</w:t>
    </w:r>
    <w:r w:rsidR="00CE3A3E">
      <w:rPr>
        <w:rFonts w:ascii="Arial" w:hAnsi="Arial"/>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37B60" w14:textId="77777777" w:rsidR="00D3646D" w:rsidRDefault="00D3646D" w:rsidP="00C577D2">
      <w:r>
        <w:separator/>
      </w:r>
    </w:p>
  </w:footnote>
  <w:footnote w:type="continuationSeparator" w:id="0">
    <w:p w14:paraId="10609A2A" w14:textId="77777777" w:rsidR="00D3646D" w:rsidRDefault="00D3646D" w:rsidP="00C57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71639" w14:textId="293AD90B" w:rsidR="008F3B26" w:rsidRPr="0027706D" w:rsidRDefault="00CE3A3E">
    <w:pPr>
      <w:pStyle w:val="Header"/>
      <w:rPr>
        <w:rFonts w:ascii="Arial" w:hAnsi="Arial" w:cs="Arial"/>
      </w:rPr>
    </w:pPr>
    <w:r>
      <w:rPr>
        <w:rFonts w:ascii="Arial" w:hAnsi="Arial" w:cs="Arial"/>
      </w:rPr>
      <w:t>NVAFC</w:t>
    </w:r>
    <w:r w:rsidR="008F3B26" w:rsidRPr="00FD4389">
      <w:rPr>
        <w:rFonts w:ascii="Arial" w:hAnsi="Arial" w:cs="Arial"/>
      </w:rPr>
      <w:t xml:space="preserve"> </w:t>
    </w:r>
    <w:r>
      <w:rPr>
        <w:rFonts w:ascii="Arial" w:hAnsi="Arial" w:cs="Arial"/>
      </w:rPr>
      <w:t>Case S</w:t>
    </w:r>
    <w:r w:rsidR="008F3B26" w:rsidRPr="00FD4389">
      <w:rPr>
        <w:rFonts w:ascii="Arial" w:hAnsi="Arial" w:cs="Arial"/>
      </w:rPr>
      <w:t xml:space="preserve">tudy: </w:t>
    </w:r>
    <w:r w:rsidR="008F3B26" w:rsidRPr="0027706D">
      <w:rPr>
        <w:rFonts w:ascii="Arial" w:hAnsi="Arial"/>
      </w:rPr>
      <w:t>Green Belt Movement</w:t>
    </w:r>
    <w:r w:rsidR="008F3B26">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E514F"/>
    <w:multiLevelType w:val="hybridMultilevel"/>
    <w:tmpl w:val="B7969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1437F2"/>
    <w:multiLevelType w:val="hybridMultilevel"/>
    <w:tmpl w:val="071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117A9"/>
    <w:multiLevelType w:val="multilevel"/>
    <w:tmpl w:val="07140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3D6A7B"/>
    <w:multiLevelType w:val="hybridMultilevel"/>
    <w:tmpl w:val="97A871C8"/>
    <w:lvl w:ilvl="0" w:tplc="FB348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7C"/>
    <w:rsid w:val="00075548"/>
    <w:rsid w:val="000B5E7C"/>
    <w:rsid w:val="00211838"/>
    <w:rsid w:val="00227763"/>
    <w:rsid w:val="002735A6"/>
    <w:rsid w:val="0027706D"/>
    <w:rsid w:val="00300B49"/>
    <w:rsid w:val="0049256D"/>
    <w:rsid w:val="004E5E3A"/>
    <w:rsid w:val="0053314B"/>
    <w:rsid w:val="00536A1F"/>
    <w:rsid w:val="005522F4"/>
    <w:rsid w:val="00580A03"/>
    <w:rsid w:val="005E145B"/>
    <w:rsid w:val="005F3995"/>
    <w:rsid w:val="00625EFC"/>
    <w:rsid w:val="0078312A"/>
    <w:rsid w:val="00832AC9"/>
    <w:rsid w:val="00875FE7"/>
    <w:rsid w:val="00877A16"/>
    <w:rsid w:val="008922D5"/>
    <w:rsid w:val="008E2F65"/>
    <w:rsid w:val="008F3B26"/>
    <w:rsid w:val="009B250B"/>
    <w:rsid w:val="00A12459"/>
    <w:rsid w:val="00A12B79"/>
    <w:rsid w:val="00AC05AC"/>
    <w:rsid w:val="00B13B64"/>
    <w:rsid w:val="00B35B5C"/>
    <w:rsid w:val="00C413F3"/>
    <w:rsid w:val="00C577D2"/>
    <w:rsid w:val="00CE3A3E"/>
    <w:rsid w:val="00D3646D"/>
    <w:rsid w:val="00D728E8"/>
    <w:rsid w:val="00D919D1"/>
    <w:rsid w:val="00D92404"/>
    <w:rsid w:val="00D92D9C"/>
    <w:rsid w:val="00DA231E"/>
    <w:rsid w:val="00DF089F"/>
    <w:rsid w:val="00F32B3E"/>
    <w:rsid w:val="00F54F4D"/>
    <w:rsid w:val="00FD6C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E79C3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2459"/>
    <w:rPr>
      <w:color w:val="0563C1" w:themeColor="hyperlink"/>
      <w:u w:val="single"/>
    </w:rPr>
  </w:style>
  <w:style w:type="paragraph" w:styleId="BalloonText">
    <w:name w:val="Balloon Text"/>
    <w:basedOn w:val="Normal"/>
    <w:link w:val="BalloonTextChar"/>
    <w:uiPriority w:val="99"/>
    <w:semiHidden/>
    <w:unhideWhenUsed/>
    <w:rsid w:val="002770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06D"/>
    <w:rPr>
      <w:rFonts w:ascii="Lucida Grande" w:hAnsi="Lucida Grande" w:cs="Lucida Grande"/>
      <w:sz w:val="18"/>
      <w:szCs w:val="18"/>
    </w:rPr>
  </w:style>
  <w:style w:type="character" w:styleId="PageNumber">
    <w:name w:val="page number"/>
    <w:basedOn w:val="DefaultParagraphFont"/>
    <w:uiPriority w:val="99"/>
    <w:semiHidden/>
    <w:unhideWhenUsed/>
    <w:rsid w:val="00AC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9034">
      <w:bodyDiv w:val="1"/>
      <w:marLeft w:val="0"/>
      <w:marRight w:val="0"/>
      <w:marTop w:val="0"/>
      <w:marBottom w:val="0"/>
      <w:divBdr>
        <w:top w:val="none" w:sz="0" w:space="0" w:color="auto"/>
        <w:left w:val="none" w:sz="0" w:space="0" w:color="auto"/>
        <w:bottom w:val="none" w:sz="0" w:space="0" w:color="auto"/>
        <w:right w:val="none" w:sz="0" w:space="0" w:color="auto"/>
      </w:divBdr>
    </w:div>
    <w:div w:id="891385462">
      <w:bodyDiv w:val="1"/>
      <w:marLeft w:val="0"/>
      <w:marRight w:val="0"/>
      <w:marTop w:val="0"/>
      <w:marBottom w:val="0"/>
      <w:divBdr>
        <w:top w:val="none" w:sz="0" w:space="0" w:color="auto"/>
        <w:left w:val="none" w:sz="0" w:space="0" w:color="auto"/>
        <w:bottom w:val="none" w:sz="0" w:space="0" w:color="auto"/>
        <w:right w:val="none" w:sz="0" w:space="0" w:color="auto"/>
      </w:divBdr>
    </w:div>
    <w:div w:id="898978651">
      <w:bodyDiv w:val="1"/>
      <w:marLeft w:val="0"/>
      <w:marRight w:val="0"/>
      <w:marTop w:val="0"/>
      <w:marBottom w:val="0"/>
      <w:divBdr>
        <w:top w:val="none" w:sz="0" w:space="0" w:color="auto"/>
        <w:left w:val="none" w:sz="0" w:space="0" w:color="auto"/>
        <w:bottom w:val="none" w:sz="0" w:space="0" w:color="auto"/>
        <w:right w:val="none" w:sz="0" w:space="0" w:color="auto"/>
      </w:divBdr>
    </w:div>
    <w:div w:id="994457921">
      <w:bodyDiv w:val="1"/>
      <w:marLeft w:val="0"/>
      <w:marRight w:val="0"/>
      <w:marTop w:val="0"/>
      <w:marBottom w:val="0"/>
      <w:divBdr>
        <w:top w:val="none" w:sz="0" w:space="0" w:color="auto"/>
        <w:left w:val="none" w:sz="0" w:space="0" w:color="auto"/>
        <w:bottom w:val="none" w:sz="0" w:space="0" w:color="auto"/>
        <w:right w:val="none" w:sz="0" w:space="0" w:color="auto"/>
      </w:divBdr>
    </w:div>
    <w:div w:id="1034380128">
      <w:bodyDiv w:val="1"/>
      <w:marLeft w:val="0"/>
      <w:marRight w:val="0"/>
      <w:marTop w:val="0"/>
      <w:marBottom w:val="0"/>
      <w:divBdr>
        <w:top w:val="none" w:sz="0" w:space="0" w:color="auto"/>
        <w:left w:val="none" w:sz="0" w:space="0" w:color="auto"/>
        <w:bottom w:val="none" w:sz="0" w:space="0" w:color="auto"/>
        <w:right w:val="none" w:sz="0" w:space="0" w:color="auto"/>
      </w:divBdr>
    </w:div>
    <w:div w:id="1224609116">
      <w:bodyDiv w:val="1"/>
      <w:marLeft w:val="0"/>
      <w:marRight w:val="0"/>
      <w:marTop w:val="0"/>
      <w:marBottom w:val="0"/>
      <w:divBdr>
        <w:top w:val="none" w:sz="0" w:space="0" w:color="auto"/>
        <w:left w:val="none" w:sz="0" w:space="0" w:color="auto"/>
        <w:bottom w:val="none" w:sz="0" w:space="0" w:color="auto"/>
        <w:right w:val="none" w:sz="0" w:space="0" w:color="auto"/>
      </w:divBdr>
    </w:div>
    <w:div w:id="1432241384">
      <w:bodyDiv w:val="1"/>
      <w:marLeft w:val="0"/>
      <w:marRight w:val="0"/>
      <w:marTop w:val="0"/>
      <w:marBottom w:val="0"/>
      <w:divBdr>
        <w:top w:val="none" w:sz="0" w:space="0" w:color="auto"/>
        <w:left w:val="none" w:sz="0" w:space="0" w:color="auto"/>
        <w:bottom w:val="none" w:sz="0" w:space="0" w:color="auto"/>
        <w:right w:val="none" w:sz="0" w:space="0" w:color="auto"/>
      </w:divBdr>
    </w:div>
    <w:div w:id="1917520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reenbeltmovement.org/wangari-maathai/taking-root-documentary" TargetMode="External"/><Relationship Id="rId8" Type="http://schemas.openxmlformats.org/officeDocument/2006/relationships/hyperlink" Target="https://www.pbs.org/independentlens/takingroot/classroom.html"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883</Words>
  <Characters>5039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2020-01-15T13:48:00Z</dcterms:created>
  <dcterms:modified xsi:type="dcterms:W3CDTF">2023-06-06T11:42:00Z</dcterms:modified>
</cp:coreProperties>
</file>